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b/>
          <w:sz w:val="44"/>
          <w:u w:val="single"/>
        </w:rPr>
      </w:pPr>
      <w:r>
        <w:rPr>
          <w:b/>
          <w:sz w:val="44"/>
          <w:u w:val="single"/>
        </w:rPr>
        <w:t>CTI  YOUTH LEADERSHIP TRAINING</w:t>
      </w:r>
    </w:p>
    <w:p>
      <w:pPr>
        <w:pStyle w:val="style0"/>
        <w:spacing w:after="0"/>
        <w:jc w:val="right"/>
        <w:rPr>
          <w:sz w:val="28"/>
        </w:rPr>
      </w:pPr>
      <w:r>
        <w:rPr>
          <w:sz w:val="28"/>
        </w:rPr>
        <w:t>(</w:t>
      </w:r>
      <w:r>
        <w:rPr>
          <w:sz w:val="28"/>
        </w:rPr>
        <w:t>draws</w:t>
      </w:r>
      <w:r>
        <w:rPr>
          <w:sz w:val="28"/>
        </w:rPr>
        <w:t xml:space="preserve"> on Young African Leadership Initiative YALI</w:t>
      </w:r>
      <w:r>
        <w:rPr>
          <w:sz w:val="28"/>
        </w:rPr>
        <w:t xml:space="preserve"> of </w:t>
      </w:r>
    </w:p>
    <w:p>
      <w:pPr>
        <w:pStyle w:val="style0"/>
        <w:jc w:val="right"/>
        <w:rPr>
          <w:sz w:val="28"/>
        </w:rPr>
      </w:pPr>
      <w:r>
        <w:rPr>
          <w:sz w:val="28"/>
        </w:rPr>
        <w:t>DIVERSITY, COLLABORATION, ASPIRATION, EMPOWERMENT, INNOVATION)</w:t>
      </w:r>
    </w:p>
    <w:p>
      <w:pPr>
        <w:pStyle w:val="style0"/>
        <w:jc w:val="right"/>
        <w:rPr>
          <w:sz w:val="28"/>
        </w:rPr>
      </w:pPr>
      <w:r>
        <w:rPr>
          <w:sz w:val="28"/>
        </w:rPr>
        <w:t>(</w:t>
      </w:r>
      <w:r>
        <w:rPr>
          <w:sz w:val="28"/>
        </w:rPr>
        <w:t>draws</w:t>
      </w:r>
      <w:r>
        <w:rPr>
          <w:sz w:val="28"/>
        </w:rPr>
        <w:t xml:space="preserve"> on the curriculum of  the Commonwealth Youth Programme CYP)</w:t>
      </w:r>
    </w:p>
    <w:tbl>
      <w:tblPr>
        <w:tblStyle w:val="style154"/>
        <w:tblW w:w="0" w:type="auto"/>
        <w:jc w:val="center"/>
        <w:tblInd w:w="-535" w:type="dxa"/>
        <w:tblLook w:val="04A0" w:firstRow="1" w:lastRow="0" w:firstColumn="1" w:lastColumn="0" w:noHBand="0" w:noVBand="1"/>
      </w:tblPr>
      <w:tblGrid>
        <w:gridCol w:w="8464"/>
      </w:tblGrid>
      <w:tr>
        <w:trPr>
          <w:jc w:val="center"/>
        </w:trPr>
        <w:tc>
          <w:tcPr>
            <w:tcW w:w="8464" w:type="dxa"/>
            <w:tcBorders/>
          </w:tcPr>
          <w:p>
            <w:pPr>
              <w:pStyle w:val="style0"/>
              <w:rPr>
                <w:rFonts w:ascii="Berlin Sans FB" w:hAnsi="Berlin Sans FB"/>
                <w:sz w:val="48"/>
              </w:rPr>
            </w:pPr>
            <w:r>
              <w:rPr>
                <w:rFonts w:ascii="Berlin Sans FB" w:hAnsi="Berlin Sans FB"/>
                <w:sz w:val="48"/>
              </w:rPr>
              <w:t>Training  the youth today is investing in the next generation of leaders</w:t>
            </w:r>
            <w:r>
              <w:rPr>
                <w:rFonts w:ascii="Berlin Sans FB" w:hAnsi="Berlin Sans FB"/>
                <w:sz w:val="48"/>
              </w:rPr>
              <w:t>.</w:t>
            </w:r>
          </w:p>
        </w:tc>
      </w:tr>
    </w:tbl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  <w:r>
        <w:rPr>
          <w:sz w:val="24"/>
        </w:rPr>
        <w:t>Our mission at</w:t>
      </w:r>
      <w:r>
        <w:rPr>
          <w:sz w:val="24"/>
        </w:rPr>
        <w:t xml:space="preserve"> CTI is to contribute to the </w:t>
      </w:r>
      <w:r>
        <w:rPr>
          <w:sz w:val="24"/>
        </w:rPr>
        <w:t>growth</w:t>
      </w:r>
      <w:r>
        <w:rPr>
          <w:sz w:val="24"/>
        </w:rPr>
        <w:t xml:space="preserve"> of good leaders in Western Kenya  through </w:t>
      </w:r>
      <w:r>
        <w:rPr>
          <w:sz w:val="24"/>
        </w:rPr>
        <w:t xml:space="preserve">today’s </w:t>
      </w:r>
      <w:r>
        <w:rPr>
          <w:sz w:val="24"/>
        </w:rPr>
        <w:t>comprehens</w:t>
      </w:r>
      <w:r>
        <w:rPr>
          <w:sz w:val="24"/>
        </w:rPr>
        <w:t>ive  and effective training of y</w:t>
      </w:r>
      <w:r>
        <w:rPr>
          <w:sz w:val="24"/>
        </w:rPr>
        <w:t>outh.</w:t>
      </w:r>
    </w:p>
    <w:p>
      <w:pPr>
        <w:pStyle w:val="style0"/>
        <w:rPr>
          <w:sz w:val="24"/>
        </w:rPr>
      </w:pPr>
      <w:r>
        <w:rPr>
          <w:sz w:val="24"/>
        </w:rPr>
        <w:t>Our mission is guided by the following questions.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368"/>
        <w:gridCol w:w="2620"/>
        <w:gridCol w:w="6120"/>
      </w:tblGrid>
      <w:tr>
        <w:trPr/>
        <w:tc>
          <w:tcPr>
            <w:tcW w:w="368" w:type="dxa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262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</w:tr>
      <w:tr>
        <w:tblPrEx/>
        <w:trPr/>
        <w:tc>
          <w:tcPr>
            <w:tcW w:w="36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2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SPEARHEAD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Who will spearhead the empowerment and self-drive of young people to shape the future of Western Kenya as a vibrant and prosperous community</w:t>
            </w:r>
            <w:r>
              <w:rPr>
                <w:sz w:val="24"/>
              </w:rPr>
              <w:t>?</w:t>
            </w:r>
          </w:p>
        </w:tc>
      </w:tr>
      <w:tr>
        <w:tblPrEx/>
        <w:trPr/>
        <w:tc>
          <w:tcPr>
            <w:tcW w:w="36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2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PRODUCTIVE CITIZENS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Will the young people passing through our hands become good citizens capable of  positive influence and impact on business and entrepreneurship? </w:t>
            </w:r>
          </w:p>
        </w:tc>
      </w:tr>
      <w:tr>
        <w:tblPrEx/>
        <w:trPr/>
        <w:tc>
          <w:tcPr>
            <w:tcW w:w="36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2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ETHICAL, SKILLED &amp; INDEPENDENT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Will the young people passing through our hands gain  the ethical and professional skills to create, manage and sustain their own Community Based Organizations and SACCOs?</w:t>
            </w:r>
          </w:p>
        </w:tc>
      </w:tr>
      <w:tr>
        <w:tblPrEx/>
        <w:trPr/>
        <w:tc>
          <w:tcPr>
            <w:tcW w:w="36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2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LEADERSHIP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Will the young people passing through our hands gain  the ethical and professional skills to join and lead existing  Community Based Organizations and Non Governmental Organizations?</w:t>
            </w:r>
          </w:p>
        </w:tc>
      </w:tr>
      <w:tr>
        <w:tblPrEx/>
        <w:trPr/>
        <w:tc>
          <w:tcPr>
            <w:tcW w:w="36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2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ABLE ADMINISTRATORS</w:t>
            </w:r>
          </w:p>
        </w:tc>
        <w:tc>
          <w:tcPr>
            <w:tcW w:w="612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Will the young people passing through our hands gain  the ethical and professional skills to serve as </w:t>
            </w:r>
            <w:r>
              <w:rPr>
                <w:sz w:val="24"/>
              </w:rPr>
              <w:t xml:space="preserve">accountable </w:t>
            </w:r>
            <w:r>
              <w:rPr>
                <w:sz w:val="24"/>
              </w:rPr>
              <w:t xml:space="preserve"> and transformational administrators in public office?</w:t>
            </w:r>
          </w:p>
        </w:tc>
      </w:tr>
    </w:tbl>
    <w:p>
      <w:pPr>
        <w:pStyle w:val="style0"/>
        <w:rPr>
          <w:sz w:val="28"/>
        </w:rPr>
      </w:pPr>
    </w:p>
    <w:p>
      <w:pPr>
        <w:pStyle w:val="style0"/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Philosophy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CTI Youth Leadership Training will draw from a variety of philosophical strands from which the participating trainer and trainee shall make preferential choices.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58"/>
        <w:gridCol w:w="3240"/>
        <w:gridCol w:w="5040"/>
      </w:tblGrid>
      <w:tr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Profound Belief and Faith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Participants will be guided to explore more deeply on their personal faiths for the purpose of shaping their transformation at the personal, leadership and community levels.  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Understanding of aspects of  the Constitution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Targeted exploration of the Constitution of Kenya 2010 to recognize the constitutional bases of </w:t>
            </w:r>
            <w:r>
              <w:rPr>
                <w:sz w:val="24"/>
              </w:rPr>
              <w:t xml:space="preserve">ethics, </w:t>
            </w:r>
            <w:r>
              <w:rPr>
                <w:sz w:val="24"/>
              </w:rPr>
              <w:t>youth matters, leadership and youth development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Training by Apprenticeship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Participants will be given the opportunity and guidance to </w:t>
            </w:r>
            <w:r>
              <w:rPr>
                <w:sz w:val="24"/>
              </w:rPr>
              <w:t xml:space="preserve">appreciate </w:t>
            </w:r>
            <w:r>
              <w:rPr>
                <w:sz w:val="24"/>
              </w:rPr>
              <w:t>work</w:t>
            </w:r>
            <w:r>
              <w:rPr>
                <w:sz w:val="24"/>
              </w:rPr>
              <w:t xml:space="preserve">ing </w:t>
            </w:r>
            <w:r>
              <w:rPr>
                <w:sz w:val="24"/>
              </w:rPr>
              <w:t>with experienced  practitioners</w:t>
            </w:r>
            <w:r>
              <w:rPr>
                <w:sz w:val="24"/>
              </w:rPr>
              <w:t xml:space="preserve"> and role models</w:t>
            </w:r>
            <w:r>
              <w:rPr>
                <w:sz w:val="24"/>
              </w:rPr>
              <w:t xml:space="preserve"> for the purpose of bringing clarity to the concepts they are introduced to. </w:t>
            </w:r>
            <w:r>
              <w:rPr>
                <w:sz w:val="24"/>
              </w:rPr>
              <w:t xml:space="preserve">Trial </w:t>
            </w:r>
            <w:r>
              <w:rPr>
                <w:sz w:val="24"/>
              </w:rPr>
              <w:t>Apprenticeship activity will be scheduled before, during and after training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Training Focus on Skills and Competencies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The training programme is designed to </w:t>
            </w:r>
            <w:r>
              <w:rPr>
                <w:sz w:val="24"/>
              </w:rPr>
              <w:t>encourage</w:t>
            </w:r>
            <w:r>
              <w:rPr>
                <w:sz w:val="24"/>
              </w:rPr>
              <w:t xml:space="preserve"> the acquisition of real skills and competencies that can be put in practice immediately.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Promoting evidence-based education and knowledge processing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Participants will be given the </w:t>
            </w:r>
            <w:r>
              <w:rPr>
                <w:sz w:val="24"/>
              </w:rPr>
              <w:t xml:space="preserve">orientation and </w:t>
            </w:r>
            <w:r>
              <w:rPr>
                <w:sz w:val="24"/>
              </w:rPr>
              <w:t xml:space="preserve">skills to assemble and present evidence in their work. 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Promoting broad and rich arts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Participants will be exposed to, and guided on, various fine arts (visual, audio, etc)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Embracing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Second Opportunity Education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Participants will be shown the value of returning to education.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Drawing on indigenous knowledge and skills to fulfill and enrich the training 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Opportunities will be provided for participants to explore indigenous skills and knowledge / education</w:t>
            </w:r>
          </w:p>
        </w:tc>
      </w:tr>
    </w:tbl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  <w:r>
        <w:rPr>
          <w:sz w:val="24"/>
        </w:rPr>
        <w:t xml:space="preserve">CTI as a regional centre sets  outcome targets in broad and specific terms. The </w:t>
      </w:r>
      <w:r>
        <w:rPr>
          <w:sz w:val="24"/>
        </w:rPr>
        <w:t>projected</w:t>
      </w:r>
      <w:r>
        <w:rPr>
          <w:sz w:val="24"/>
        </w:rPr>
        <w:t xml:space="preserve"> broad </w:t>
      </w:r>
      <w:r>
        <w:rPr>
          <w:sz w:val="24"/>
        </w:rPr>
        <w:t xml:space="preserve">outcomes of </w:t>
      </w:r>
      <w:r>
        <w:rPr>
          <w:sz w:val="24"/>
        </w:rPr>
        <w:t xml:space="preserve">training will be </w:t>
      </w:r>
      <w:r>
        <w:rPr>
          <w:sz w:val="24"/>
        </w:rPr>
        <w:t xml:space="preserve">to </w:t>
      </w:r>
      <w:r>
        <w:rPr>
          <w:sz w:val="24"/>
        </w:rPr>
        <w:t xml:space="preserve">promote </w:t>
      </w:r>
      <w:r>
        <w:rPr>
          <w:sz w:val="24"/>
        </w:rPr>
        <w:t xml:space="preserve">STRONG LEADERSHIP SKILLS for the purpose of </w:t>
      </w:r>
    </w:p>
    <w:p>
      <w:pPr>
        <w:pStyle w:val="style0"/>
        <w:spacing w:after="0"/>
        <w:rPr>
          <w:sz w:val="28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3062"/>
        <w:gridCol w:w="3960"/>
        <w:gridCol w:w="1908"/>
      </w:tblGrid>
      <w:tr>
        <w:trPr/>
        <w:tc>
          <w:tcPr>
            <w:tcW w:w="646" w:type="dxa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3062" w:type="dxa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3960" w:type="dxa"/>
            <w:tcBorders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908" w:type="dxa"/>
            <w:tcBorders/>
          </w:tcPr>
          <w:p>
            <w:pPr>
              <w:pStyle w:val="style0"/>
              <w:rPr>
                <w:sz w:val="28"/>
              </w:rPr>
            </w:pPr>
          </w:p>
        </w:tc>
      </w:tr>
      <w:tr>
        <w:tblPrEx/>
        <w:trPr/>
        <w:tc>
          <w:tcPr>
            <w:tcW w:w="646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3062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 xml:space="preserve">TRANSFORMING  THE PARTICIPANT AT THE </w:t>
            </w:r>
            <w:r>
              <w:rPr>
                <w:b/>
                <w:sz w:val="28"/>
                <w:u w:val="single"/>
              </w:rPr>
              <w:t>PERSONAL</w:t>
            </w:r>
            <w:r>
              <w:rPr>
                <w:sz w:val="28"/>
              </w:rPr>
              <w:t xml:space="preserve"> LEVEL</w:t>
            </w:r>
          </w:p>
        </w:tc>
        <w:tc>
          <w:tcPr>
            <w:tcW w:w="396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Exploring the self with range of options. Exploring personal  experience and personal ambition</w:t>
            </w:r>
          </w:p>
        </w:tc>
        <w:tc>
          <w:tcPr>
            <w:tcW w:w="190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PERSONAL GROWTH</w:t>
            </w:r>
          </w:p>
        </w:tc>
      </w:tr>
      <w:tr>
        <w:tblPrEx/>
        <w:trPr/>
        <w:tc>
          <w:tcPr>
            <w:tcW w:w="646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3062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 xml:space="preserve">INCREASING THE CAPACITY OF PARTICIPANT  TO TRANSFORM </w:t>
            </w:r>
            <w:r>
              <w:rPr>
                <w:sz w:val="28"/>
              </w:rPr>
              <w:t>AND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LEAD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b/>
                <w:sz w:val="28"/>
                <w:u w:val="single"/>
              </w:rPr>
              <w:t>GROUP</w:t>
            </w:r>
          </w:p>
        </w:tc>
        <w:tc>
          <w:tcPr>
            <w:tcW w:w="396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 focused exploration  of leadership drawing from  variety of stimuli and role models</w:t>
            </w:r>
          </w:p>
        </w:tc>
        <w:tc>
          <w:tcPr>
            <w:tcW w:w="190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LEADERSHIP</w:t>
            </w:r>
          </w:p>
        </w:tc>
      </w:tr>
      <w:tr>
        <w:tblPrEx/>
        <w:trPr/>
        <w:tc>
          <w:tcPr>
            <w:tcW w:w="646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3062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 xml:space="preserve">GIVING  PARTICIPANT </w:t>
            </w:r>
            <w:r>
              <w:rPr>
                <w:sz w:val="28"/>
              </w:rPr>
              <w:t xml:space="preserve">FOUNDATION </w:t>
            </w:r>
            <w:r>
              <w:rPr>
                <w:sz w:val="28"/>
              </w:rPr>
              <w:t xml:space="preserve"> TO  TRANSFORM THE </w:t>
            </w:r>
            <w:r>
              <w:rPr>
                <w:b/>
                <w:sz w:val="28"/>
                <w:u w:val="single"/>
              </w:rPr>
              <w:t>COMMUNITY</w:t>
            </w:r>
          </w:p>
        </w:tc>
        <w:tc>
          <w:tcPr>
            <w:tcW w:w="3960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Hands-on training through mentorship and apprenticeship to engage in real life transformational leadership activity</w:t>
            </w:r>
          </w:p>
        </w:tc>
        <w:tc>
          <w:tcPr>
            <w:tcW w:w="190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COMMUNITY TRANSFORMATION</w:t>
            </w:r>
          </w:p>
        </w:tc>
      </w:tr>
    </w:tbl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TRAINING </w:t>
      </w:r>
      <w:r>
        <w:rPr>
          <w:b/>
          <w:sz w:val="28"/>
          <w:u w:val="single"/>
        </w:rPr>
        <w:t>METHODOLOGY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 xml:space="preserve">The training methods will be several and flexible guided by the principles of Adult Education, </w:t>
      </w:r>
      <w:r>
        <w:rPr>
          <w:sz w:val="24"/>
        </w:rPr>
        <w:t>Informal Education and Open Learning.</w:t>
      </w:r>
    </w:p>
    <w:p>
      <w:pPr>
        <w:pStyle w:val="style0"/>
        <w:spacing w:after="0"/>
        <w:rPr>
          <w:sz w:val="28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358"/>
        <w:gridCol w:w="8498"/>
      </w:tblGrid>
      <w:tr>
        <w:trPr/>
        <w:tc>
          <w:tcPr>
            <w:tcW w:w="0" w:type="auto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Methodology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Static presentations</w:t>
            </w:r>
            <w:r>
              <w:rPr>
                <w:sz w:val="24"/>
              </w:rPr>
              <w:t>.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Scenario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 for participants to explore</w:t>
            </w:r>
            <w:r>
              <w:rPr>
                <w:sz w:val="24"/>
              </w:rPr>
              <w:t>.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Simulation as Immersion and Collaborative Learning (see ARC West Africa)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z w:val="24"/>
              </w:rPr>
              <w:t xml:space="preserve"> Skills and Practice. 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correspondence,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letters emails, </w:t>
            </w:r>
            <w:r>
              <w:rPr>
                <w:sz w:val="24"/>
              </w:rPr>
              <w:t>individual, group, debate, report</w:t>
            </w:r>
            <w:r>
              <w:rPr>
                <w:sz w:val="24"/>
              </w:rPr>
              <w:t>ing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recording occurrences,</w:t>
            </w:r>
            <w:r>
              <w:rPr>
                <w:sz w:val="24"/>
              </w:rPr>
              <w:t xml:space="preserve"> Inspirational</w:t>
            </w:r>
            <w:r>
              <w:rPr>
                <w:sz w:val="24"/>
              </w:rPr>
              <w:t xml:space="preserve"> communication</w:t>
            </w:r>
            <w:r>
              <w:rPr>
                <w:sz w:val="24"/>
              </w:rPr>
              <w:t>)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z w:val="24"/>
              </w:rPr>
              <w:t>ization</w:t>
            </w:r>
          </w:p>
        </w:tc>
      </w:tr>
      <w:tr>
        <w:tblPrEx/>
        <w:trPr/>
        <w:tc>
          <w:tcPr>
            <w:tcW w:w="0" w:type="auto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Multi-media face-to-face and e-learning</w:t>
            </w:r>
          </w:p>
        </w:tc>
      </w:tr>
    </w:tbl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DURATION OF TRAINING</w:t>
      </w:r>
    </w:p>
    <w:p>
      <w:pPr>
        <w:pStyle w:val="style0"/>
        <w:rPr>
          <w:sz w:val="24"/>
        </w:rPr>
      </w:pPr>
      <w:r>
        <w:rPr>
          <w:sz w:val="24"/>
        </w:rPr>
        <w:t>The training programme will last 4 weeks for the classroom work and field activity.</w:t>
      </w:r>
    </w:p>
    <w:p>
      <w:pPr>
        <w:pStyle w:val="style0"/>
        <w:rPr>
          <w:sz w:val="28"/>
        </w:rPr>
      </w:pPr>
      <w:r>
        <w:rPr>
          <w:sz w:val="28"/>
        </w:rPr>
        <w:t>TRAINING FORMAT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57"/>
        <w:gridCol w:w="2019"/>
        <w:gridCol w:w="7001"/>
      </w:tblGrid>
      <w:tr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CLASSROOM</w:t>
            </w:r>
          </w:p>
        </w:tc>
        <w:tc>
          <w:tcPr>
            <w:tcW w:w="7038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Classroom activity (basic exploration of principles, concepts and models) 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OUTDOOR</w:t>
            </w:r>
          </w:p>
        </w:tc>
        <w:tc>
          <w:tcPr>
            <w:tcW w:w="7038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z w:val="24"/>
              </w:rPr>
              <w:t>oint activity (including Team Building)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COMMUNITY</w:t>
            </w:r>
          </w:p>
        </w:tc>
        <w:tc>
          <w:tcPr>
            <w:tcW w:w="7038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Community activity (including working with functioning Youth Groups)</w:t>
            </w:r>
          </w:p>
        </w:tc>
      </w:tr>
    </w:tbl>
    <w:p>
      <w:pPr>
        <w:pStyle w:val="style0"/>
        <w:rPr>
          <w:sz w:val="24"/>
        </w:rPr>
      </w:pPr>
      <w:r>
        <w:rPr>
          <w:sz w:val="24"/>
        </w:rPr>
        <w:t>Each of the three elements of the format will include systematic supervision and feedback.</w:t>
      </w:r>
    </w:p>
    <w:p>
      <w:pPr>
        <w:pStyle w:val="style0"/>
        <w:shd w:val="clear" w:color="auto" w:fill="ffffff"/>
        <w:spacing w:before="100" w:beforeAutospacing="true" w:after="0" w:lineRule="atLeast" w:line="288"/>
        <w:outlineLvl w:val="1"/>
        <w:rPr>
          <w:rFonts w:cs="Times New Roman" w:eastAsia="Times New Roman"/>
          <w:b/>
          <w:bCs/>
          <w:color w:val="000000"/>
          <w:sz w:val="28"/>
          <w:szCs w:val="18"/>
        </w:rPr>
      </w:pPr>
      <w:r>
        <w:rPr>
          <w:rFonts w:cs="Times New Roman" w:eastAsia="Times New Roman"/>
          <w:b/>
          <w:bCs/>
          <w:color w:val="000000"/>
          <w:sz w:val="28"/>
          <w:szCs w:val="18"/>
        </w:rPr>
        <w:t>The Commonwealth Values</w:t>
      </w:r>
    </w:p>
    <w:p>
      <w:pPr>
        <w:pStyle w:val="style0"/>
        <w:shd w:val="clear" w:color="auto" w:fill="ffffff"/>
        <w:spacing w:after="0" w:lineRule="atLeast" w:line="360"/>
        <w:rPr>
          <w:rFonts w:cs="Times New Roman" w:eastAsia="Times New Roman"/>
          <w:color w:val="000000"/>
          <w:sz w:val="24"/>
          <w:szCs w:val="13"/>
        </w:rPr>
      </w:pPr>
      <w:r>
        <w:rPr>
          <w:rFonts w:cs="Times New Roman" w:eastAsia="Times New Roman"/>
          <w:color w:val="000000"/>
          <w:sz w:val="24"/>
          <w:szCs w:val="13"/>
        </w:rPr>
        <w:t>The Commonwealth values</w:t>
      </w:r>
      <w:r>
        <w:rPr>
          <w:rFonts w:cs="Times New Roman" w:eastAsia="Times New Roman"/>
          <w:color w:val="000000"/>
          <w:sz w:val="24"/>
          <w:szCs w:val="13"/>
        </w:rPr>
        <w:t xml:space="preserve">, included in this training, </w:t>
      </w:r>
      <w:r>
        <w:rPr>
          <w:rFonts w:cs="Times New Roman" w:eastAsia="Times New Roman"/>
          <w:color w:val="000000"/>
          <w:sz w:val="24"/>
          <w:szCs w:val="13"/>
        </w:rPr>
        <w:t xml:space="preserve"> </w:t>
      </w:r>
      <w:r>
        <w:rPr>
          <w:rFonts w:cs="Times New Roman" w:eastAsia="Times New Roman"/>
          <w:color w:val="000000"/>
          <w:sz w:val="24"/>
          <w:szCs w:val="13"/>
        </w:rPr>
        <w:t>have been promoted</w:t>
      </w:r>
      <w:r>
        <w:rPr>
          <w:rFonts w:cs="Times New Roman" w:eastAsia="Times New Roman"/>
          <w:color w:val="000000"/>
          <w:sz w:val="24"/>
          <w:szCs w:val="13"/>
        </w:rPr>
        <w:t xml:space="preserve"> in  </w:t>
      </w:r>
      <w:r>
        <w:rPr>
          <w:rFonts w:cs="Times New Roman" w:eastAsia="Times New Roman"/>
          <w:color w:val="000000"/>
          <w:sz w:val="24"/>
          <w:szCs w:val="13"/>
        </w:rPr>
        <w:t>African</w:t>
      </w:r>
      <w:r>
        <w:rPr>
          <w:rFonts w:cs="Times New Roman" w:eastAsia="Times New Roman"/>
          <w:color w:val="000000"/>
          <w:sz w:val="24"/>
          <w:szCs w:val="13"/>
        </w:rPr>
        <w:t xml:space="preserve"> </w:t>
      </w:r>
      <w:r>
        <w:rPr>
          <w:rFonts w:cs="Times New Roman" w:eastAsia="Times New Roman"/>
          <w:color w:val="000000"/>
          <w:sz w:val="24"/>
          <w:szCs w:val="13"/>
        </w:rPr>
        <w:t xml:space="preserve">, North America, Pacific, Western Europe </w:t>
      </w:r>
      <w:r>
        <w:rPr>
          <w:rFonts w:cs="Times New Roman" w:eastAsia="Times New Roman"/>
          <w:color w:val="000000"/>
          <w:sz w:val="24"/>
          <w:szCs w:val="13"/>
        </w:rPr>
        <w:t>and Asian</w:t>
      </w:r>
      <w:r>
        <w:rPr>
          <w:rFonts w:cs="Times New Roman" w:eastAsia="Times New Roman"/>
          <w:color w:val="000000"/>
          <w:sz w:val="24"/>
          <w:szCs w:val="13"/>
        </w:rPr>
        <w:t xml:space="preserve"> as outcomes of</w:t>
      </w:r>
      <w:r>
        <w:rPr>
          <w:rFonts w:cs="Times New Roman" w:eastAsia="Times New Roman"/>
          <w:color w:val="000000"/>
          <w:sz w:val="24"/>
          <w:szCs w:val="13"/>
        </w:rPr>
        <w:t xml:space="preserve"> independence movements and the struggles for self-government. The values </w:t>
      </w:r>
      <w:r>
        <w:rPr>
          <w:rFonts w:cs="Times New Roman" w:eastAsia="Times New Roman"/>
          <w:color w:val="000000"/>
          <w:sz w:val="24"/>
          <w:szCs w:val="13"/>
        </w:rPr>
        <w:t>include  human rights, good governance, the rule of law, individual libe</w:t>
      </w:r>
      <w:r>
        <w:rPr>
          <w:rFonts w:cs="Times New Roman" w:eastAsia="Times New Roman"/>
          <w:color w:val="000000"/>
          <w:sz w:val="24"/>
          <w:szCs w:val="13"/>
        </w:rPr>
        <w:t>rty, equal opportunity, free trade</w:t>
      </w:r>
      <w:r>
        <w:rPr>
          <w:rFonts w:cs="Times New Roman" w:eastAsia="Times New Roman"/>
          <w:color w:val="000000"/>
          <w:sz w:val="24"/>
          <w:szCs w:val="13"/>
        </w:rPr>
        <w:t xml:space="preserve"> and peace,. </w:t>
      </w:r>
    </w:p>
    <w:p>
      <w:pPr>
        <w:pStyle w:val="style0"/>
        <w:autoSpaceDE w:val="false"/>
        <w:autoSpaceDN w:val="false"/>
        <w:adjustRightInd w:val="false"/>
        <w:spacing w:after="0"/>
        <w:rPr>
          <w:rFonts w:cs="CalistoMT" w:eastAsia="Calibri"/>
          <w:b/>
          <w:bCs/>
          <w:sz w:val="36"/>
          <w:szCs w:val="32"/>
        </w:rPr>
      </w:pPr>
    </w:p>
    <w:p>
      <w:pPr>
        <w:pStyle w:val="style0"/>
        <w:autoSpaceDE w:val="false"/>
        <w:autoSpaceDN w:val="false"/>
        <w:adjustRightInd w:val="false"/>
        <w:spacing w:after="0"/>
        <w:rPr>
          <w:rFonts w:cs="CalistoMT" w:eastAsia="Calibri"/>
          <w:sz w:val="24"/>
          <w:szCs w:val="28"/>
        </w:rPr>
      </w:pPr>
      <w:r>
        <w:rPr>
          <w:rFonts w:cs="CalistoMT" w:eastAsia="Calibri"/>
          <w:sz w:val="24"/>
          <w:szCs w:val="28"/>
        </w:rPr>
        <w:t xml:space="preserve">The study of </w:t>
      </w:r>
      <w:r>
        <w:rPr>
          <w:rFonts w:cs="CalistoMT" w:eastAsia="Calibri"/>
          <w:sz w:val="24"/>
          <w:szCs w:val="28"/>
        </w:rPr>
        <w:t>Commonwealth Values</w:t>
      </w:r>
      <w:r>
        <w:rPr>
          <w:rFonts w:cs="CalistoMT" w:eastAsia="Calibri"/>
          <w:sz w:val="24"/>
          <w:szCs w:val="28"/>
        </w:rPr>
        <w:t xml:space="preserve"> will enable participants </w:t>
      </w:r>
      <w:r>
        <w:rPr>
          <w:rFonts w:cs="CalistoMT" w:eastAsia="Calibri"/>
          <w:sz w:val="24"/>
          <w:szCs w:val="28"/>
        </w:rPr>
        <w:t>to:</w:t>
      </w: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before="100" w:beforeAutospacing="true" w:after="0" w:lineRule="auto" w:line="273"/>
        <w:rPr>
          <w:rFonts w:cs="CalistoMT" w:eastAsia="Calibri"/>
          <w:sz w:val="24"/>
          <w:szCs w:val="28"/>
        </w:rPr>
      </w:pPr>
      <w:r>
        <w:rPr>
          <w:rFonts w:cs="CalistoMT" w:eastAsia="Calibri"/>
          <w:sz w:val="24"/>
          <w:szCs w:val="28"/>
        </w:rPr>
        <w:t xml:space="preserve">Describe the origins  or history of the Commonwealth. , </w:t>
      </w: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before="100" w:beforeAutospacing="true" w:after="0" w:lineRule="auto" w:line="273"/>
        <w:rPr>
          <w:rFonts w:cs="CalistoMT" w:eastAsia="Calibri"/>
          <w:sz w:val="24"/>
          <w:szCs w:val="28"/>
        </w:rPr>
      </w:pPr>
      <w:r>
        <w:rPr>
          <w:rFonts w:cs="CalistoMT" w:eastAsia="Calibri"/>
          <w:sz w:val="24"/>
          <w:szCs w:val="28"/>
        </w:rPr>
        <w:t xml:space="preserve">List the Commonwealth values and principles, and give examples of how they are used in </w:t>
      </w:r>
      <w:r>
        <w:rPr>
          <w:rFonts w:cs="CalistoMT" w:eastAsia="Calibri"/>
          <w:sz w:val="24"/>
          <w:szCs w:val="28"/>
        </w:rPr>
        <w:t xml:space="preserve">their own </w:t>
      </w:r>
      <w:r>
        <w:rPr>
          <w:rFonts w:cs="CalistoMT" w:eastAsia="Calibri"/>
          <w:sz w:val="24"/>
          <w:szCs w:val="28"/>
        </w:rPr>
        <w:t xml:space="preserve"> community.  </w:t>
      </w: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before="100" w:beforeAutospacing="true" w:after="0" w:lineRule="auto" w:line="273"/>
        <w:rPr>
          <w:rFonts w:cs="CalistoMT" w:eastAsia="Calibri"/>
          <w:sz w:val="24"/>
          <w:szCs w:val="28"/>
        </w:rPr>
      </w:pPr>
      <w:r>
        <w:rPr>
          <w:rFonts w:cs="CalistoMT" w:eastAsia="Calibri"/>
          <w:sz w:val="24"/>
          <w:szCs w:val="28"/>
        </w:rPr>
        <w:t xml:space="preserve">List some important human rights and how they are designed to protect </w:t>
      </w:r>
      <w:r>
        <w:rPr>
          <w:rFonts w:cs="CalistoMT" w:eastAsia="Calibri"/>
          <w:sz w:val="24"/>
          <w:szCs w:val="28"/>
        </w:rPr>
        <w:t xml:space="preserve">the person </w:t>
      </w:r>
      <w:r>
        <w:rPr>
          <w:rFonts w:cs="CalistoMT" w:eastAsia="Calibri"/>
          <w:sz w:val="24"/>
          <w:szCs w:val="28"/>
        </w:rPr>
        <w:t xml:space="preserve"> and</w:t>
      </w:r>
      <w:r>
        <w:rPr>
          <w:rFonts w:cs="CalistoMT" w:eastAsia="Calibri"/>
          <w:sz w:val="24"/>
          <w:szCs w:val="28"/>
        </w:rPr>
        <w:t xml:space="preserve"> </w:t>
      </w:r>
      <w:r>
        <w:rPr>
          <w:rFonts w:cs="CalistoMT" w:eastAsia="Calibri"/>
          <w:sz w:val="24"/>
          <w:szCs w:val="28"/>
        </w:rPr>
        <w:t xml:space="preserve">the </w:t>
      </w:r>
      <w:r>
        <w:rPr>
          <w:rFonts w:cs="CalistoMT" w:eastAsia="Calibri"/>
          <w:sz w:val="24"/>
          <w:szCs w:val="28"/>
        </w:rPr>
        <w:t xml:space="preserve"> community.  [</w:t>
      </w:r>
      <w:r>
        <w:rPr>
          <w:rFonts w:cs="CalistoMT" w:eastAsia="Calibri"/>
          <w:sz w:val="24"/>
          <w:szCs w:val="28"/>
        </w:rPr>
        <w:t>Haki</w:t>
      </w:r>
      <w:r>
        <w:rPr>
          <w:rFonts w:cs="CalistoMT" w:eastAsia="Calibri"/>
          <w:sz w:val="24"/>
          <w:szCs w:val="28"/>
        </w:rPr>
        <w:t xml:space="preserve"> </w:t>
      </w:r>
      <w:r>
        <w:rPr>
          <w:rFonts w:cs="CalistoMT" w:eastAsia="Calibri"/>
          <w:sz w:val="24"/>
          <w:szCs w:val="28"/>
        </w:rPr>
        <w:t>Yeetu</w:t>
      </w:r>
      <w:r>
        <w:rPr>
          <w:rFonts w:cs="CalistoMT" w:eastAsia="Calibri"/>
          <w:sz w:val="24"/>
          <w:szCs w:val="28"/>
        </w:rPr>
        <w:t xml:space="preserve">, </w:t>
      </w:r>
      <w:r>
        <w:rPr>
          <w:rFonts w:cs="CalistoMT" w:eastAsia="Calibri"/>
          <w:sz w:val="24"/>
          <w:szCs w:val="28"/>
        </w:rPr>
        <w:t>Haki</w:t>
      </w:r>
      <w:r>
        <w:rPr>
          <w:rFonts w:cs="CalistoMT" w:eastAsia="Calibri"/>
          <w:sz w:val="24"/>
          <w:szCs w:val="28"/>
        </w:rPr>
        <w:t xml:space="preserve"> </w:t>
      </w:r>
      <w:r>
        <w:rPr>
          <w:rFonts w:cs="CalistoMT" w:eastAsia="Calibri"/>
          <w:sz w:val="24"/>
          <w:szCs w:val="28"/>
        </w:rPr>
        <w:t>Yeeetu</w:t>
      </w:r>
      <w:r>
        <w:rPr>
          <w:rFonts w:cs="CalistoMT" w:eastAsia="Calibri"/>
          <w:sz w:val="24"/>
          <w:szCs w:val="28"/>
        </w:rPr>
        <w:t>]</w:t>
      </w: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before="100" w:beforeAutospacing="true" w:after="0" w:lineRule="auto" w:line="273"/>
        <w:rPr>
          <w:rFonts w:cs="CalistoMT" w:eastAsia="Calibri"/>
          <w:sz w:val="24"/>
          <w:szCs w:val="28"/>
        </w:rPr>
      </w:pPr>
      <w:r>
        <w:rPr>
          <w:rFonts w:cs="CalistoMT" w:eastAsia="Calibri"/>
          <w:sz w:val="24"/>
          <w:szCs w:val="28"/>
        </w:rPr>
        <w:t xml:space="preserve">Give examples of how to use Commonwealth Values in </w:t>
      </w:r>
      <w:r>
        <w:rPr>
          <w:rFonts w:cs="CalistoMT" w:eastAsia="Calibri"/>
          <w:sz w:val="24"/>
          <w:szCs w:val="28"/>
        </w:rPr>
        <w:t xml:space="preserve">the </w:t>
      </w:r>
      <w:r>
        <w:rPr>
          <w:rFonts w:cs="CalistoMT" w:eastAsia="Calibri"/>
          <w:sz w:val="24"/>
          <w:szCs w:val="28"/>
        </w:rPr>
        <w:t>work with young women and men.</w:t>
      </w: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before="100" w:beforeAutospacing="true" w:after="0" w:lineRule="auto" w:line="273"/>
        <w:rPr>
          <w:rFonts w:cs="CalistoMT" w:eastAsia="Calibri"/>
          <w:sz w:val="24"/>
          <w:szCs w:val="28"/>
        </w:rPr>
      </w:pPr>
      <w:r>
        <w:rPr>
          <w:rFonts w:cs="CalistoMT" w:eastAsia="Calibri"/>
          <w:sz w:val="24"/>
          <w:szCs w:val="28"/>
        </w:rPr>
        <w:t xml:space="preserve">Describe how different cultures can learn community values from each other.  </w:t>
      </w: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before="100" w:beforeAutospacing="true" w:after="0" w:lineRule="auto" w:line="273"/>
        <w:rPr>
          <w:rFonts w:cs="CalistoMT" w:eastAsia="Calibri"/>
          <w:sz w:val="24"/>
          <w:szCs w:val="28"/>
        </w:rPr>
      </w:pPr>
      <w:r>
        <w:rPr>
          <w:rFonts w:cs="CalistoMT" w:eastAsia="Calibri"/>
          <w:sz w:val="24"/>
          <w:szCs w:val="28"/>
        </w:rPr>
        <w:t>List the values you consider important for yourself.</w:t>
      </w: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before="100" w:beforeAutospacing="true" w:after="0" w:lineRule="auto" w:line="273"/>
        <w:rPr>
          <w:rFonts w:cs="CalistoMT" w:eastAsia="Calibri"/>
          <w:sz w:val="24"/>
          <w:szCs w:val="28"/>
        </w:rPr>
      </w:pPr>
      <w:r>
        <w:rPr>
          <w:rFonts w:cs="CalistoMT" w:eastAsia="Calibri"/>
          <w:sz w:val="24"/>
          <w:szCs w:val="28"/>
        </w:rPr>
        <w:t>Describe how your attitude has changes since learning about these values.</w:t>
      </w:r>
    </w:p>
    <w:p>
      <w:pPr>
        <w:pStyle w:val="style0"/>
        <w:autoSpaceDE w:val="false"/>
        <w:autoSpaceDN w:val="false"/>
        <w:adjustRightInd w:val="false"/>
        <w:spacing w:after="0"/>
        <w:rPr>
          <w:rFonts w:cs="CalistoMT" w:eastAsia="Calibri"/>
          <w:b/>
          <w:bCs/>
          <w:sz w:val="28"/>
          <w:szCs w:val="32"/>
        </w:rPr>
      </w:pPr>
    </w:p>
    <w:p>
      <w:pPr>
        <w:pStyle w:val="style0"/>
        <w:autoSpaceDE w:val="false"/>
        <w:autoSpaceDN w:val="false"/>
        <w:adjustRightInd w:val="false"/>
        <w:spacing w:after="0"/>
        <w:rPr>
          <w:rFonts w:cs="CalistoMT" w:eastAsia="Calibri"/>
          <w:b/>
          <w:bCs/>
          <w:sz w:val="24"/>
          <w:szCs w:val="28"/>
        </w:rPr>
      </w:pPr>
      <w:r>
        <w:rPr>
          <w:rFonts w:cs="CalistoMT" w:eastAsia="Calibri"/>
          <w:b/>
          <w:bCs/>
          <w:sz w:val="28"/>
          <w:szCs w:val="32"/>
        </w:rPr>
        <w:t xml:space="preserve">Desired </w:t>
      </w:r>
      <w:r>
        <w:rPr>
          <w:rFonts w:cs="CalistoMT" w:eastAsia="Calibri"/>
          <w:b/>
          <w:bCs/>
          <w:sz w:val="28"/>
          <w:szCs w:val="32"/>
        </w:rPr>
        <w:t xml:space="preserve"> Broad </w:t>
      </w:r>
      <w:r>
        <w:rPr>
          <w:rFonts w:cs="CalistoMT" w:eastAsia="Calibri"/>
          <w:b/>
          <w:bCs/>
          <w:sz w:val="28"/>
          <w:szCs w:val="32"/>
        </w:rPr>
        <w:t>Values</w:t>
      </w:r>
    </w:p>
    <w:p>
      <w:pPr>
        <w:pStyle w:val="style0"/>
        <w:autoSpaceDE w:val="false"/>
        <w:autoSpaceDN w:val="false"/>
        <w:adjustRightInd w:val="false"/>
        <w:spacing w:after="0"/>
        <w:rPr>
          <w:rFonts w:cs="CalistoMT" w:eastAsia="Calibri"/>
          <w:sz w:val="24"/>
          <w:szCs w:val="28"/>
        </w:rPr>
      </w:pPr>
      <w:r>
        <w:rPr>
          <w:rFonts w:cs="CalistoMT" w:eastAsia="Calibri"/>
          <w:sz w:val="24"/>
          <w:szCs w:val="28"/>
        </w:rPr>
        <w:t xml:space="preserve">When you have </w:t>
      </w:r>
      <w:r>
        <w:rPr>
          <w:rFonts w:cs="CalistoMT" w:eastAsia="Calibri"/>
          <w:sz w:val="24"/>
          <w:szCs w:val="28"/>
        </w:rPr>
        <w:t>undergone this training , you should be able to u</w:t>
      </w:r>
      <w:r>
        <w:rPr>
          <w:rFonts w:cs="CalistoMT" w:eastAsia="Calibri"/>
          <w:sz w:val="24"/>
          <w:szCs w:val="28"/>
        </w:rPr>
        <w:t xml:space="preserve">ndertake activities to help young people understand the principles that underpin </w:t>
      </w:r>
      <w:r>
        <w:rPr>
          <w:rFonts w:cs="CalistoMT" w:eastAsia="Calibri"/>
          <w:sz w:val="24"/>
          <w:szCs w:val="28"/>
        </w:rPr>
        <w:t xml:space="preserve">the desired </w:t>
      </w:r>
      <w:r>
        <w:rPr>
          <w:rFonts w:cs="CalistoMT" w:eastAsia="Calibri"/>
          <w:sz w:val="24"/>
          <w:szCs w:val="28"/>
        </w:rPr>
        <w:t>values</w:t>
      </w:r>
      <w:r>
        <w:rPr>
          <w:rFonts w:cs="CalistoMT" w:eastAsia="Calibri"/>
          <w:sz w:val="24"/>
          <w:szCs w:val="28"/>
        </w:rPr>
        <w:t>, which are also</w:t>
      </w:r>
      <w:r>
        <w:rPr>
          <w:rFonts w:cs="CalistoMT" w:eastAsia="Calibri"/>
          <w:sz w:val="24"/>
          <w:szCs w:val="28"/>
        </w:rPr>
        <w:t xml:space="preserve"> </w:t>
      </w:r>
      <w:r>
        <w:rPr>
          <w:rFonts w:cs="CalistoMT" w:eastAsia="Calibri"/>
          <w:sz w:val="24"/>
          <w:szCs w:val="28"/>
        </w:rPr>
        <w:t>Commonwealth Values.</w:t>
      </w:r>
    </w:p>
    <w:p>
      <w:pPr>
        <w:pStyle w:val="style0"/>
        <w:autoSpaceDE w:val="false"/>
        <w:autoSpaceDN w:val="false"/>
        <w:adjustRightInd w:val="false"/>
        <w:spacing w:after="0"/>
        <w:rPr>
          <w:rFonts w:cs="CalistoMT" w:eastAsia="Calibri"/>
          <w:sz w:val="24"/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8"/>
        <w:gridCol w:w="2070"/>
        <w:gridCol w:w="7038"/>
      </w:tblGrid>
      <w:tr>
        <w:trPr/>
        <w:tc>
          <w:tcPr>
            <w:tcW w:w="46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cs="CalistoMT" w:eastAsia="Calibri"/>
                <w:sz w:val="28"/>
                <w:szCs w:val="28"/>
              </w:rPr>
            </w:pPr>
            <w:r>
              <w:rPr>
                <w:rFonts w:cs="CalistoMT" w:eastAsia="Calibri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cs="CalistoMT" w:eastAsia="Calibri"/>
                <w:sz w:val="28"/>
                <w:szCs w:val="28"/>
              </w:rPr>
            </w:pPr>
            <w:r>
              <w:rPr>
                <w:rFonts w:cs="CalistoMT" w:eastAsia="Calibri"/>
                <w:sz w:val="28"/>
                <w:szCs w:val="28"/>
              </w:rPr>
              <w:t>Uraia</w:t>
            </w:r>
            <w:r>
              <w:rPr>
                <w:rFonts w:cs="CalistoMT" w:eastAsia="Calibri"/>
                <w:sz w:val="28"/>
                <w:szCs w:val="28"/>
              </w:rPr>
              <w:t xml:space="preserve"> </w:t>
            </w:r>
            <w:r>
              <w:rPr>
                <w:rFonts w:cs="CalistoMT" w:eastAsia="Calibri"/>
                <w:sz w:val="28"/>
                <w:szCs w:val="28"/>
              </w:rPr>
              <w:t>mwema</w:t>
            </w:r>
          </w:p>
        </w:tc>
        <w:tc>
          <w:tcPr>
            <w:tcW w:w="70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cs="CalistoMT" w:eastAsia="Calibri"/>
                <w:sz w:val="24"/>
                <w:szCs w:val="28"/>
              </w:rPr>
            </w:pPr>
            <w:r>
              <w:rPr>
                <w:rFonts w:cs="CalistoMT" w:eastAsia="Calibri"/>
                <w:sz w:val="24"/>
                <w:szCs w:val="28"/>
              </w:rPr>
              <w:t>Develop programmes of activity which enable young people to acquire skills and experience in citizenship, and effective participation in public affairs.</w:t>
            </w:r>
          </w:p>
        </w:tc>
      </w:tr>
      <w:tr>
        <w:tblPrEx/>
        <w:trPr/>
        <w:tc>
          <w:tcPr>
            <w:tcW w:w="46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cs="CalistoMT" w:eastAsia="Calibri"/>
                <w:sz w:val="28"/>
                <w:szCs w:val="28"/>
              </w:rPr>
            </w:pPr>
            <w:r>
              <w:rPr>
                <w:rFonts w:cs="CalistoMT" w:eastAsia="Calibri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cs="CalistoMT" w:eastAsia="Calibri"/>
                <w:sz w:val="28"/>
                <w:szCs w:val="28"/>
              </w:rPr>
            </w:pPr>
            <w:r>
              <w:rPr>
                <w:rFonts w:cs="CalistoMT" w:eastAsia="Calibri"/>
                <w:sz w:val="28"/>
                <w:szCs w:val="28"/>
              </w:rPr>
              <w:t>Uongozi</w:t>
            </w:r>
            <w:r>
              <w:rPr>
                <w:rFonts w:cs="CalistoMT" w:eastAsia="Calibri"/>
                <w:sz w:val="28"/>
                <w:szCs w:val="28"/>
              </w:rPr>
              <w:t xml:space="preserve"> </w:t>
            </w:r>
            <w:r>
              <w:rPr>
                <w:rFonts w:cs="CalistoMT" w:eastAsia="Calibri"/>
                <w:sz w:val="28"/>
                <w:szCs w:val="28"/>
              </w:rPr>
              <w:t>bora</w:t>
            </w:r>
          </w:p>
        </w:tc>
        <w:tc>
          <w:tcPr>
            <w:tcW w:w="703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cs="CalistoMT" w:eastAsia="Calibri"/>
                <w:sz w:val="24"/>
                <w:szCs w:val="28"/>
              </w:rPr>
            </w:pPr>
            <w:r>
              <w:rPr>
                <w:rFonts w:cs="CalistoMT" w:eastAsia="Calibri"/>
                <w:sz w:val="24"/>
                <w:szCs w:val="28"/>
              </w:rPr>
              <w:t>Operate different styles of democratic and participatory decision making,  in particular consensual styles.</w:t>
            </w:r>
          </w:p>
        </w:tc>
      </w:tr>
    </w:tbl>
    <w:p>
      <w:pPr>
        <w:pStyle w:val="style0"/>
        <w:rPr>
          <w:sz w:val="24"/>
        </w:rPr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Berlin Sans FB">
    <w:altName w:val="Berlin Sans FB"/>
    <w:panose1 w:val="020e0602020005020306"/>
    <w:charset w:val="00"/>
    <w:family w:val="swiss"/>
    <w:pitch w:val="variable"/>
    <w:sig w:usb0="00000003" w:usb1="00000000" w:usb2="00000000" w:usb3="00000000" w:csb0="00000001" w:csb1="00000000"/>
  </w:font>
  <w:font w:name="CalistoMT">
    <w:altName w:val="CalistoM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4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906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92E3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5380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2AB4B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9C04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79F8C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204d2b1-c116-4bb7-a420-6a483048c86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118b7fc-037e-43e8-a359-771bc4f483e9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908</Words>
  <Pages>4</Pages>
  <Characters>5308</Characters>
  <Application>WPS Office</Application>
  <DocSecurity>0</DocSecurity>
  <Paragraphs>162</Paragraphs>
  <ScaleCrop>false</ScaleCrop>
  <Company>HP</Company>
  <LinksUpToDate>false</LinksUpToDate>
  <CharactersWithSpaces>6156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2020-06-15T10:38:00Z</dcterms:created>
  <dc:creator>DEMS</dc:creator>
  <lastModifiedBy>Infinix X693</lastModifiedBy>
  <dcterms:modified xsi:type="dcterms:W3CDTF">2025-01-02T06:21:19Z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902b0dde686e488b9042d84082b7c83d</vt:lpwstr>
  </property>
</Properties>
</file>